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2C8E4E3" w14:textId="77777777" w:rsidR="004E3596" w:rsidRDefault="004E3596" w:rsidP="006F585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785A8D43" w14:textId="4F733BC5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>Cordial saludo,</w:t>
      </w:r>
    </w:p>
    <w:p w14:paraId="23E9011F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44EA2F50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>Atendiendo a las funciones del Grupo de Gestión Contractual, contenidas en la Resolución No. 00631 del 5 de julio de 2023, “</w:t>
      </w:r>
      <w:r w:rsidRPr="009E74D5">
        <w:rPr>
          <w:rFonts w:ascii="Work Sans" w:hAnsi="Work Sans" w:cs="Arial"/>
          <w:i/>
          <w:iCs/>
          <w:sz w:val="20"/>
          <w:szCs w:val="20"/>
        </w:rPr>
        <w:t>Por la cual se organizan los Grupos Internos de Trabajo al interior del Ministerio de Minas y Energía y se dictan otras disposiciones”</w:t>
      </w:r>
      <w:r w:rsidRPr="009E74D5">
        <w:rPr>
          <w:rFonts w:ascii="Work Sans" w:hAnsi="Work Sans" w:cs="Arial"/>
          <w:sz w:val="20"/>
          <w:szCs w:val="20"/>
        </w:rPr>
        <w:t>, y considerando que dentro de las mismas se encuentran, entre otras, las de:</w:t>
      </w:r>
    </w:p>
    <w:p w14:paraId="4BA159A4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0EDFF811" w14:textId="0E3A008E" w:rsidR="006F5850" w:rsidRPr="009E74D5" w:rsidRDefault="00D33D10" w:rsidP="006F5850">
      <w:pPr>
        <w:spacing w:line="240" w:lineRule="auto"/>
        <w:ind w:right="51" w:firstLine="708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  <w:r w:rsidRPr="009E74D5">
        <w:rPr>
          <w:rFonts w:ascii="Work Sans" w:hAnsi="Work Sans" w:cs="Arial"/>
          <w:i/>
          <w:iCs/>
          <w:sz w:val="20"/>
          <w:szCs w:val="20"/>
        </w:rPr>
        <w:t>“</w:t>
      </w:r>
      <w:r w:rsidR="006F5850" w:rsidRPr="009E74D5">
        <w:rPr>
          <w:rFonts w:ascii="Work Sans" w:hAnsi="Work Sans" w:cs="Arial"/>
          <w:i/>
          <w:iCs/>
          <w:sz w:val="20"/>
          <w:szCs w:val="20"/>
        </w:rPr>
        <w:t>(…)</w:t>
      </w:r>
    </w:p>
    <w:p w14:paraId="7089DD54" w14:textId="77777777" w:rsidR="006F5850" w:rsidRPr="009E74D5" w:rsidRDefault="006F5850" w:rsidP="006F5850">
      <w:pPr>
        <w:spacing w:line="240" w:lineRule="auto"/>
        <w:ind w:right="51" w:firstLine="708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</w:p>
    <w:p w14:paraId="33156567" w14:textId="42157DB0" w:rsidR="006F5850" w:rsidRPr="009E74D5" w:rsidRDefault="006F5850" w:rsidP="006F585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  <w:r w:rsidRPr="009E74D5">
        <w:rPr>
          <w:rFonts w:ascii="Work Sans" w:hAnsi="Work Sans" w:cs="Arial"/>
          <w:i/>
          <w:iCs/>
          <w:sz w:val="20"/>
          <w:szCs w:val="20"/>
        </w:rPr>
        <w:t>16. Revisar y dar trámite a todas las actas de liquidación o documentos de cierre de los Procesos de Contratación, a solicitud del supervisor o interventor del respectivo Proceso de Contratación.</w:t>
      </w:r>
    </w:p>
    <w:p w14:paraId="56DFF875" w14:textId="77777777" w:rsidR="006F5850" w:rsidRPr="009E74D5" w:rsidRDefault="006F5850" w:rsidP="006F585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  <w:r w:rsidRPr="009E74D5">
        <w:rPr>
          <w:rFonts w:ascii="Work Sans" w:hAnsi="Work Sans" w:cs="Arial"/>
          <w:i/>
          <w:iCs/>
          <w:sz w:val="20"/>
          <w:szCs w:val="20"/>
        </w:rPr>
        <w:t>22. Gestionar la matriz de liquidación de los contratos del Ministerio, con el fin de requerir a los supervisores, coordinadores y/o jefes de dependencias para llevar a cabo la liquidación de los contratos suscritos por el Ministerio, en los términos establecidos en la Ley.</w:t>
      </w:r>
    </w:p>
    <w:p w14:paraId="6D24D618" w14:textId="77777777" w:rsidR="006F5850" w:rsidRPr="009E74D5" w:rsidRDefault="006F5850" w:rsidP="006F585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</w:p>
    <w:p w14:paraId="694B8AC0" w14:textId="30BDD031" w:rsidR="006F5850" w:rsidRPr="009E74D5" w:rsidRDefault="006F5850" w:rsidP="006F5850">
      <w:pPr>
        <w:spacing w:line="240" w:lineRule="auto"/>
        <w:ind w:right="51" w:firstLine="708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  <w:r w:rsidRPr="009E74D5">
        <w:rPr>
          <w:rFonts w:ascii="Work Sans" w:hAnsi="Work Sans" w:cs="Arial"/>
          <w:i/>
          <w:iCs/>
          <w:sz w:val="20"/>
          <w:szCs w:val="20"/>
        </w:rPr>
        <w:t>(…)</w:t>
      </w:r>
      <w:r w:rsidR="00D33D10" w:rsidRPr="009E74D5">
        <w:rPr>
          <w:rFonts w:ascii="Work Sans" w:hAnsi="Work Sans" w:cs="Arial"/>
          <w:i/>
          <w:iCs/>
          <w:sz w:val="20"/>
          <w:szCs w:val="20"/>
        </w:rPr>
        <w:t>”</w:t>
      </w:r>
    </w:p>
    <w:p w14:paraId="0725FB98" w14:textId="77777777" w:rsidR="00D33D10" w:rsidRPr="009E74D5" w:rsidRDefault="00D33D10" w:rsidP="006F5850">
      <w:pPr>
        <w:spacing w:line="240" w:lineRule="auto"/>
        <w:ind w:right="51" w:firstLine="708"/>
        <w:contextualSpacing/>
        <w:jc w:val="both"/>
        <w:rPr>
          <w:rFonts w:ascii="Work Sans" w:hAnsi="Work Sans" w:cs="Arial"/>
          <w:color w:val="0070C0"/>
          <w:sz w:val="20"/>
          <w:szCs w:val="20"/>
        </w:rPr>
      </w:pPr>
    </w:p>
    <w:p w14:paraId="27FE44F7" w14:textId="016DECE7" w:rsidR="0070436A" w:rsidRDefault="00844F88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844F88">
        <w:rPr>
          <w:rFonts w:ascii="Work Sans" w:hAnsi="Work Sans" w:cs="Arial"/>
          <w:sz w:val="20"/>
          <w:szCs w:val="20"/>
        </w:rPr>
        <w:t>En relación</w:t>
      </w:r>
      <w:r w:rsidR="0070436A">
        <w:rPr>
          <w:rFonts w:ascii="Work Sans" w:hAnsi="Work Sans" w:cs="Arial"/>
          <w:sz w:val="20"/>
          <w:szCs w:val="20"/>
        </w:rPr>
        <w:t xml:space="preserve"> con la radicación d</w:t>
      </w:r>
      <w:r w:rsidRPr="00844F88">
        <w:rPr>
          <w:rFonts w:ascii="Work Sans" w:hAnsi="Work Sans" w:cs="Arial"/>
          <w:sz w:val="20"/>
          <w:szCs w:val="20"/>
        </w:rPr>
        <w:t>el trámite de liquidación del contrato GGC 442 de 2015, suscrito con la ELECTRIFICADORA DEL META S.A ESP – EMSA E.S.P. el cual tenía por objeto: “</w:t>
      </w:r>
      <w:r w:rsidRPr="00844F88">
        <w:rPr>
          <w:rFonts w:ascii="Work Sans" w:hAnsi="Work Sans" w:cs="Arial"/>
          <w:i/>
          <w:iCs/>
          <w:sz w:val="20"/>
          <w:szCs w:val="20"/>
        </w:rPr>
        <w:t>'Realizar la ejecución de los proyectos que serán financiados con recursos del Fondo del Programa de Normalización de Redes Eléctricas – PRONE, con el fin de mejorar la calidad y confiabilidad del servicio de energía eléctrica en los barrios subnormales ubicados en los municipios del Sistema Interconectado Nacional, conforme a los reglamentos técnicos vigentes</w:t>
      </w:r>
      <w:r w:rsidRPr="00844F88">
        <w:rPr>
          <w:rFonts w:ascii="Work Sans" w:hAnsi="Work Sans" w:cs="Arial"/>
          <w:sz w:val="20"/>
          <w:szCs w:val="20"/>
        </w:rPr>
        <w:t>”,</w:t>
      </w:r>
      <w:r w:rsidR="0070436A">
        <w:rPr>
          <w:rFonts w:ascii="Work Sans" w:hAnsi="Work Sans" w:cs="Arial"/>
          <w:sz w:val="20"/>
          <w:szCs w:val="20"/>
        </w:rPr>
        <w:t xml:space="preserve"> es importante manifestar que de acuerdo con los términos legales vigentes, la Entidad perderá competencia para liquidar bilateral o unilateralmente dicho contrato el próximo 03 de junio de 2026.</w:t>
      </w:r>
    </w:p>
    <w:p w14:paraId="3B41DE1A" w14:textId="77777777" w:rsidR="0070436A" w:rsidRDefault="0070436A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2220E39B" w14:textId="55A8310A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>Conforme a lo anterior</w:t>
      </w:r>
      <w:r w:rsidR="0070436A">
        <w:rPr>
          <w:rFonts w:ascii="Work Sans" w:hAnsi="Work Sans" w:cs="Arial"/>
          <w:sz w:val="20"/>
          <w:szCs w:val="20"/>
        </w:rPr>
        <w:t xml:space="preserve"> </w:t>
      </w:r>
      <w:r w:rsidRPr="009E74D5">
        <w:rPr>
          <w:rFonts w:ascii="Work Sans" w:hAnsi="Work Sans" w:cs="Arial"/>
          <w:sz w:val="20"/>
          <w:szCs w:val="20"/>
        </w:rPr>
        <w:t>y con la finalidad de coadyuvar con el procedimiento de liquidació</w:t>
      </w:r>
      <w:r w:rsidR="0070436A">
        <w:rPr>
          <w:rFonts w:ascii="Work Sans" w:hAnsi="Work Sans" w:cs="Arial"/>
          <w:sz w:val="20"/>
          <w:szCs w:val="20"/>
        </w:rPr>
        <w:t>n</w:t>
      </w:r>
      <w:r w:rsidRPr="009E74D5">
        <w:rPr>
          <w:rFonts w:ascii="Work Sans" w:hAnsi="Work Sans" w:cs="Arial"/>
          <w:sz w:val="20"/>
          <w:szCs w:val="20"/>
        </w:rPr>
        <w:t>, es necesario que desde la</w:t>
      </w:r>
      <w:r w:rsidR="007E0914">
        <w:rPr>
          <w:rFonts w:ascii="Work Sans" w:hAnsi="Work Sans" w:cs="Arial"/>
          <w:sz w:val="20"/>
          <w:szCs w:val="20"/>
        </w:rPr>
        <w:t xml:space="preserve"> supervisión</w:t>
      </w:r>
      <w:r w:rsidRPr="009E74D5">
        <w:rPr>
          <w:rFonts w:ascii="Work Sans" w:hAnsi="Work Sans" w:cs="Arial"/>
          <w:sz w:val="20"/>
          <w:szCs w:val="20"/>
        </w:rPr>
        <w:t xml:space="preserve"> se consideren las siguientes precisiones</w:t>
      </w:r>
      <w:r w:rsidR="00D33D10" w:rsidRPr="009E74D5">
        <w:rPr>
          <w:rFonts w:ascii="Work Sans" w:hAnsi="Work Sans" w:cs="Arial"/>
          <w:sz w:val="20"/>
          <w:szCs w:val="20"/>
        </w:rPr>
        <w:t xml:space="preserve"> desde la normatividad vigente, la cual esta articulada con el Manual de Contratación del Ministerio de Minas y Energía</w:t>
      </w:r>
      <w:r w:rsidRPr="009E74D5">
        <w:rPr>
          <w:rFonts w:ascii="Work Sans" w:hAnsi="Work Sans" w:cs="Arial"/>
          <w:sz w:val="20"/>
          <w:szCs w:val="20"/>
        </w:rPr>
        <w:t>:</w:t>
      </w:r>
    </w:p>
    <w:p w14:paraId="77843117" w14:textId="77777777" w:rsidR="001A556B" w:rsidRPr="009E74D5" w:rsidRDefault="001A556B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62C875A4" w14:textId="280F773A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b/>
          <w:bCs/>
          <w:sz w:val="20"/>
          <w:szCs w:val="20"/>
        </w:rPr>
        <w:t xml:space="preserve">PLAZO PARA LA LIQUIDACIÓN DE LOS CONTRATOS </w:t>
      </w:r>
      <w:r w:rsidRPr="009E74D5">
        <w:rPr>
          <w:rFonts w:ascii="Work Sans" w:hAnsi="Work Sans" w:cs="Arial"/>
          <w:sz w:val="20"/>
          <w:szCs w:val="20"/>
        </w:rPr>
        <w:t>(Artículo 11 de la Ley 1150 de 2007)</w:t>
      </w:r>
      <w:r w:rsidR="00D33D10" w:rsidRPr="009E74D5">
        <w:rPr>
          <w:rFonts w:ascii="Work Sans" w:hAnsi="Work Sans" w:cs="Arial"/>
          <w:sz w:val="20"/>
          <w:szCs w:val="20"/>
        </w:rPr>
        <w:t>, la precitada norma establece lo siguiente:</w:t>
      </w:r>
    </w:p>
    <w:p w14:paraId="3F560798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626E2516" w14:textId="5D1E07F6" w:rsidR="006F5850" w:rsidRPr="00A60ACB" w:rsidRDefault="00A60ACB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>
        <w:rPr>
          <w:rFonts w:ascii="Work Sans" w:hAnsi="Work Sans" w:cs="Arial"/>
          <w:i/>
          <w:iCs/>
          <w:sz w:val="16"/>
          <w:szCs w:val="16"/>
        </w:rPr>
        <w:t>“(…)</w:t>
      </w:r>
      <w:r w:rsidR="000A4709">
        <w:rPr>
          <w:rFonts w:ascii="Work Sans" w:hAnsi="Work Sans" w:cs="Arial"/>
          <w:i/>
          <w:iCs/>
          <w:sz w:val="16"/>
          <w:szCs w:val="16"/>
        </w:rPr>
        <w:t xml:space="preserve"> </w:t>
      </w:r>
      <w:r w:rsidR="006F5850" w:rsidRPr="00A60ACB">
        <w:rPr>
          <w:rFonts w:ascii="Work Sans" w:hAnsi="Work Sans" w:cs="Arial"/>
          <w:b/>
          <w:bCs/>
          <w:i/>
          <w:iCs/>
          <w:sz w:val="16"/>
          <w:szCs w:val="16"/>
        </w:rPr>
        <w:t xml:space="preserve">Liquidación Bilateral: </w:t>
      </w:r>
      <w:r w:rsidR="006F5850" w:rsidRPr="00A60ACB">
        <w:rPr>
          <w:rFonts w:ascii="Work Sans" w:hAnsi="Work Sans" w:cs="Arial"/>
          <w:i/>
          <w:iCs/>
          <w:sz w:val="16"/>
          <w:szCs w:val="16"/>
        </w:rPr>
        <w:t>Se hará de mutuo acuerdo dentro del término fija</w:t>
      </w:r>
      <w:r w:rsidR="006F5850" w:rsidRPr="00A60ACB">
        <w:rPr>
          <w:rFonts w:ascii="Work Sans" w:hAnsi="Work Sans" w:cs="Arial"/>
          <w:i/>
          <w:iCs/>
          <w:sz w:val="16"/>
          <w:szCs w:val="16"/>
        </w:rPr>
        <w:softHyphen/>
        <w:t>do en los pliegos de condiciones o sus equivalentes, o dentro del que acuerden las partes para el efecto. De no existir tal término, la liquidación se realizará den</w:t>
      </w:r>
      <w:r w:rsidR="006F5850" w:rsidRPr="00A60ACB">
        <w:rPr>
          <w:rFonts w:ascii="Work Sans" w:hAnsi="Work Sans" w:cs="Arial"/>
          <w:i/>
          <w:iCs/>
          <w:sz w:val="16"/>
          <w:szCs w:val="16"/>
        </w:rPr>
        <w:softHyphen/>
        <w:t>tro de los cuatro (4) meses siguientes a la expiración del término previsto para la ejecución del contrato o a la expedición del acto administrativo que or</w:t>
      </w:r>
      <w:r w:rsidR="006F5850" w:rsidRPr="00A60ACB">
        <w:rPr>
          <w:rFonts w:ascii="Work Sans" w:hAnsi="Work Sans" w:cs="Arial"/>
          <w:i/>
          <w:iCs/>
          <w:sz w:val="16"/>
          <w:szCs w:val="16"/>
        </w:rPr>
        <w:softHyphen/>
        <w:t>dene la terminación, o a la fecha del acuerdo que la disponga.</w:t>
      </w:r>
    </w:p>
    <w:p w14:paraId="0F78BFD3" w14:textId="77777777" w:rsidR="006F5850" w:rsidRPr="00A60ACB" w:rsidRDefault="006F5850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2663AD0A" w14:textId="19DF48C2" w:rsidR="006F5850" w:rsidRPr="00A60ACB" w:rsidRDefault="006F5850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b/>
          <w:bCs/>
          <w:i/>
          <w:iCs/>
          <w:sz w:val="16"/>
          <w:szCs w:val="16"/>
        </w:rPr>
        <w:t xml:space="preserve">Liquidación Unilateral: </w:t>
      </w:r>
      <w:r w:rsidRPr="00A60ACB">
        <w:rPr>
          <w:rFonts w:ascii="Work Sans" w:hAnsi="Work Sans" w:cs="Arial"/>
          <w:i/>
          <w:iCs/>
          <w:sz w:val="16"/>
          <w:szCs w:val="16"/>
        </w:rPr>
        <w:t>Cuando el contratista no se presente a la liquida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ción previa notificación o convocatoria que le haga la entidad, o las partes no lleguen a un acuerdo sobre su contenido, la entidad tendrá la facultad de liqui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dar en forma unilateral dentro de los dos (2) meses siguientes, de conformidad con lo dispuesto en el artículo 136 del C. C. A.</w:t>
      </w:r>
    </w:p>
    <w:p w14:paraId="58F212A0" w14:textId="77777777" w:rsidR="006F5850" w:rsidRPr="00A60ACB" w:rsidRDefault="006F5850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59C17497" w14:textId="25F6E99C" w:rsidR="006F5850" w:rsidRPr="00A60ACB" w:rsidRDefault="006F5850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Si vencido el plazo anteriormente establecido no se ha realizado la liqui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dación, la misma podrá ser realizada en cualquier tiempo dentro de los dos años siguientes al vencimiento del término a que se refieren los incisos ante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riores, de mutuo acuerdo o unilateralmente, sin perjuicio de lo previsto en el ar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tículo 136 del C. C. A.</w:t>
      </w:r>
    </w:p>
    <w:p w14:paraId="03897EC8" w14:textId="77777777" w:rsidR="006F5850" w:rsidRPr="00A60ACB" w:rsidRDefault="006F5850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4CD17EF2" w14:textId="0C6CC2D1" w:rsidR="006F5850" w:rsidRPr="00A60ACB" w:rsidRDefault="006F5850" w:rsidP="00A60ACB">
      <w:pPr>
        <w:spacing w:line="240" w:lineRule="auto"/>
        <w:ind w:left="284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 xml:space="preserve">Los contratistas tendrán derecho a efectuar salvedades a la liquidación por mutuo acuerdo, y en este evento la liquidación unilateral solo procederá en relación con los aspectos que no hayan sido objeto de </w:t>
      </w:r>
      <w:proofErr w:type="gramStart"/>
      <w:r w:rsidRPr="00A60ACB">
        <w:rPr>
          <w:rFonts w:ascii="Work Sans" w:hAnsi="Work Sans" w:cs="Arial"/>
          <w:i/>
          <w:iCs/>
          <w:sz w:val="16"/>
          <w:szCs w:val="16"/>
        </w:rPr>
        <w:t>acuerdo.</w:t>
      </w:r>
      <w:r w:rsidR="00A60ACB">
        <w:rPr>
          <w:rFonts w:ascii="Work Sans" w:hAnsi="Work Sans" w:cs="Arial"/>
          <w:i/>
          <w:iCs/>
          <w:sz w:val="16"/>
          <w:szCs w:val="16"/>
        </w:rPr>
        <w:t>(</w:t>
      </w:r>
      <w:proofErr w:type="gramEnd"/>
      <w:r w:rsidR="00A60ACB">
        <w:rPr>
          <w:rFonts w:ascii="Work Sans" w:hAnsi="Work Sans" w:cs="Arial"/>
          <w:i/>
          <w:iCs/>
          <w:sz w:val="16"/>
          <w:szCs w:val="16"/>
        </w:rPr>
        <w:t>…)”</w:t>
      </w:r>
    </w:p>
    <w:p w14:paraId="1BFFDDE9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41F0FEDF" w14:textId="019682C4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b/>
          <w:bCs/>
          <w:sz w:val="20"/>
          <w:szCs w:val="20"/>
        </w:rPr>
        <w:t xml:space="preserve">LIQUIDACIÓN BILATERAL O DE MUTUO ACUERDO </w:t>
      </w:r>
      <w:r w:rsidRPr="009E74D5">
        <w:rPr>
          <w:rFonts w:ascii="Work Sans" w:hAnsi="Work Sans" w:cs="Arial"/>
          <w:sz w:val="20"/>
          <w:szCs w:val="20"/>
        </w:rPr>
        <w:t>(Numeral 1.4.1.1. del Manual de Contratación)</w:t>
      </w:r>
      <w:r w:rsidR="00D33D10" w:rsidRPr="009E74D5">
        <w:rPr>
          <w:rFonts w:ascii="Work Sans" w:hAnsi="Work Sans" w:cs="Arial"/>
          <w:sz w:val="20"/>
          <w:szCs w:val="20"/>
        </w:rPr>
        <w:t>, respecto al tema señala:</w:t>
      </w:r>
    </w:p>
    <w:p w14:paraId="4ADD8011" w14:textId="77777777" w:rsidR="00D33D10" w:rsidRPr="009E74D5" w:rsidRDefault="00D33D1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556E98F0" w14:textId="7F458DED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 xml:space="preserve">El supervisor del contrato deberá </w:t>
      </w:r>
      <w:r w:rsidR="007E0914">
        <w:rPr>
          <w:rFonts w:ascii="Work Sans" w:hAnsi="Work Sans" w:cs="Arial"/>
          <w:sz w:val="20"/>
          <w:szCs w:val="20"/>
        </w:rPr>
        <w:t xml:space="preserve">radicar por la plataforma Neón </w:t>
      </w:r>
      <w:r w:rsidRPr="009E74D5">
        <w:rPr>
          <w:rFonts w:ascii="Work Sans" w:hAnsi="Work Sans" w:cs="Arial"/>
          <w:sz w:val="20"/>
          <w:szCs w:val="20"/>
        </w:rPr>
        <w:t>al Grupo de Gestión Contractual los siguientes documentos:</w:t>
      </w:r>
    </w:p>
    <w:p w14:paraId="0EEE068F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4CE07BD3" w14:textId="77777777" w:rsidR="008E455E" w:rsidRPr="00A60ACB" w:rsidRDefault="008E455E" w:rsidP="008E455E">
      <w:pPr>
        <w:spacing w:line="240" w:lineRule="auto"/>
        <w:ind w:right="51" w:firstLine="708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“(…)</w:t>
      </w:r>
    </w:p>
    <w:p w14:paraId="73D3E88F" w14:textId="43FD796E" w:rsidR="005B4718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Certificación final de cumplimiento, la cual debe contener como mínimo:</w:t>
      </w:r>
    </w:p>
    <w:p w14:paraId="600E2F7E" w14:textId="51A4BD1D" w:rsidR="005B4718" w:rsidRPr="00A60ACB" w:rsidRDefault="006F5850" w:rsidP="000A4709">
      <w:pPr>
        <w:pStyle w:val="Prrafodelista"/>
        <w:numPr>
          <w:ilvl w:val="0"/>
          <w:numId w:val="3"/>
        </w:numPr>
        <w:spacing w:line="240" w:lineRule="auto"/>
        <w:ind w:left="644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El balance técnico del cumplimiento de cada una de las obligaciones pactadas en el contrato.</w:t>
      </w:r>
    </w:p>
    <w:p w14:paraId="0A71CD34" w14:textId="5D573F83" w:rsidR="005B4718" w:rsidRPr="00A60ACB" w:rsidRDefault="006F5850" w:rsidP="000A4709">
      <w:pPr>
        <w:pStyle w:val="Prrafodelista"/>
        <w:numPr>
          <w:ilvl w:val="0"/>
          <w:numId w:val="3"/>
        </w:numPr>
        <w:spacing w:line="240" w:lineRule="auto"/>
        <w:ind w:left="644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Balance financiero elaborado por el área técnica.</w:t>
      </w:r>
    </w:p>
    <w:p w14:paraId="7A7E716D" w14:textId="77777777" w:rsidR="00942046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Documentos que acrediten la capacidad jurídica del contratista y su repre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sentante legal para concurrir a la firma del acta de liquidación (certificado de existencia y representación legal o documento análogo, IAS, etc.) ac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tualizados y vigentes.</w:t>
      </w:r>
    </w:p>
    <w:p w14:paraId="764CC437" w14:textId="01C84151" w:rsidR="005B4718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Certificación de pago de parafiscales durante la vigencia del contrato o conve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nio.</w:t>
      </w:r>
    </w:p>
    <w:p w14:paraId="5500A3C2" w14:textId="4F7FE986" w:rsidR="005B4718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Certificado de antecedentes disciplinarios y Tarjeta Profesional del Revi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>sor Fiscal, (Si aplica)</w:t>
      </w:r>
    </w:p>
    <w:p w14:paraId="5D1B489E" w14:textId="203AB5FE" w:rsidR="006F5850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Acta de recibo o entrega de obra (Si aplica)</w:t>
      </w:r>
    </w:p>
    <w:p w14:paraId="5EA17329" w14:textId="08AE409D" w:rsidR="006F5850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Proyecto de acta de liquidación la cual debe estar previamente avalada por el contratista</w:t>
      </w:r>
    </w:p>
    <w:p w14:paraId="10C933D0" w14:textId="4A3117F2" w:rsidR="006F5850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Garantías en caso de aplicar con las suficiencias requeridas en la normati</w:t>
      </w:r>
      <w:r w:rsidRPr="00A60ACB">
        <w:rPr>
          <w:rFonts w:ascii="Work Sans" w:hAnsi="Work Sans" w:cs="Arial"/>
          <w:i/>
          <w:iCs/>
          <w:sz w:val="16"/>
          <w:szCs w:val="16"/>
        </w:rPr>
        <w:softHyphen/>
        <w:t xml:space="preserve">vidad y/o certificado de no siniestro ante la imposibilidad de ampliación de </w:t>
      </w:r>
      <w:proofErr w:type="gramStart"/>
      <w:r w:rsidRPr="00A60ACB">
        <w:rPr>
          <w:rFonts w:ascii="Work Sans" w:hAnsi="Work Sans" w:cs="Arial"/>
          <w:i/>
          <w:iCs/>
          <w:sz w:val="16"/>
          <w:szCs w:val="16"/>
        </w:rPr>
        <w:t>las mismas</w:t>
      </w:r>
      <w:proofErr w:type="gramEnd"/>
    </w:p>
    <w:p w14:paraId="11D57687" w14:textId="000F4585" w:rsidR="006F5850" w:rsidRPr="00A60ACB" w:rsidRDefault="006F5850" w:rsidP="000A4709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Soportes documentales relacionados con la ejecución y/o que incidan en el contenido de la liquidación.</w:t>
      </w:r>
    </w:p>
    <w:p w14:paraId="4530C2DA" w14:textId="24E177FF" w:rsidR="006F5850" w:rsidRDefault="008E455E" w:rsidP="008E455E">
      <w:pPr>
        <w:spacing w:line="240" w:lineRule="auto"/>
        <w:ind w:right="51" w:firstLine="360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(…)”</w:t>
      </w:r>
    </w:p>
    <w:p w14:paraId="5F546E2E" w14:textId="77777777" w:rsidR="000A4709" w:rsidRPr="00A60ACB" w:rsidRDefault="000A4709" w:rsidP="008E455E">
      <w:pPr>
        <w:spacing w:line="240" w:lineRule="auto"/>
        <w:ind w:right="51" w:firstLine="360"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7AB00CAB" w14:textId="0AA41AB3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b/>
          <w:bCs/>
          <w:sz w:val="20"/>
          <w:szCs w:val="20"/>
        </w:rPr>
        <w:lastRenderedPageBreak/>
        <w:t xml:space="preserve">LIQUIDACIÓN UNILATERAL </w:t>
      </w:r>
      <w:r w:rsidRPr="009E74D5">
        <w:rPr>
          <w:rFonts w:ascii="Work Sans" w:hAnsi="Work Sans" w:cs="Arial"/>
          <w:sz w:val="20"/>
          <w:szCs w:val="20"/>
        </w:rPr>
        <w:t>(Numeral 1.4.1.2. del Manual de Contratación)</w:t>
      </w:r>
    </w:p>
    <w:p w14:paraId="217205E1" w14:textId="77777777" w:rsidR="00457687" w:rsidRPr="009E74D5" w:rsidRDefault="00457687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6063799F" w14:textId="49A29DEF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>El supervisor del contrato deberá r</w:t>
      </w:r>
      <w:r w:rsidR="007E0914">
        <w:rPr>
          <w:rFonts w:ascii="Work Sans" w:hAnsi="Work Sans" w:cs="Arial"/>
          <w:sz w:val="20"/>
          <w:szCs w:val="20"/>
        </w:rPr>
        <w:t>adicar mediante la plataforma Neón</w:t>
      </w:r>
      <w:r w:rsidRPr="009E74D5">
        <w:rPr>
          <w:rFonts w:ascii="Work Sans" w:hAnsi="Work Sans" w:cs="Arial"/>
          <w:sz w:val="20"/>
          <w:szCs w:val="20"/>
        </w:rPr>
        <w:t xml:space="preserve"> al Grupo de Gestión Contractual los siguientes documentos, con una antelación mínima de dos (2) meses respecto de la fecha de vencimiento del término de pérdida de competencia para liquidar, ello a fin de garantizar la oportuna expedición, notificación y firmeza del acto administrativo respectivo y evitar vicios de nulidad:</w:t>
      </w:r>
    </w:p>
    <w:p w14:paraId="47C06A56" w14:textId="77777777" w:rsidR="006A282D" w:rsidRPr="009E74D5" w:rsidRDefault="006A282D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3E31CCCB" w14:textId="31430405" w:rsidR="006A282D" w:rsidRPr="00A60ACB" w:rsidRDefault="006A282D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“(…)</w:t>
      </w:r>
    </w:p>
    <w:p w14:paraId="37B9EA45" w14:textId="12AA7E17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Certificación final de cumplimiento, la cual debe contener como mínimo:</w:t>
      </w:r>
    </w:p>
    <w:p w14:paraId="725D1A07" w14:textId="773318B7" w:rsidR="006F5850" w:rsidRPr="00A60ACB" w:rsidRDefault="006F5850" w:rsidP="00942046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El balance técnico del cumplimiento de cada una de las obligaciones pactadas en el contrato.</w:t>
      </w:r>
    </w:p>
    <w:p w14:paraId="78BC6AE3" w14:textId="40936AEF" w:rsidR="006F5850" w:rsidRPr="00A60ACB" w:rsidRDefault="006F5850" w:rsidP="00942046">
      <w:pPr>
        <w:pStyle w:val="Prrafodelista"/>
        <w:numPr>
          <w:ilvl w:val="0"/>
          <w:numId w:val="3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Balance financiero elaborado por el área técnica.</w:t>
      </w:r>
    </w:p>
    <w:p w14:paraId="6F5D797A" w14:textId="44B58ACB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Certificación de pago de parafiscales por la vigencia del contrato</w:t>
      </w:r>
    </w:p>
    <w:p w14:paraId="700A36A0" w14:textId="581419AD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Acta de recibo o entrega de obra (si aplica)</w:t>
      </w:r>
    </w:p>
    <w:p w14:paraId="52DE9B53" w14:textId="61B7DFC2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Proyecto de acto administrativo que declara la liquidación unilateral del con- trato o convenio.</w:t>
      </w:r>
    </w:p>
    <w:p w14:paraId="40F99B17" w14:textId="1067998B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 xml:space="preserve">Garantías en caso de aplicar con las suficiencias requeridas en la normatividad y/o certificado de no siniestro ante la imposibilidad de ampliación de </w:t>
      </w:r>
      <w:proofErr w:type="gramStart"/>
      <w:r w:rsidRPr="00A60ACB">
        <w:rPr>
          <w:rFonts w:ascii="Work Sans" w:hAnsi="Work Sans" w:cs="Arial"/>
          <w:i/>
          <w:iCs/>
          <w:sz w:val="16"/>
          <w:szCs w:val="16"/>
        </w:rPr>
        <w:t>las mismas</w:t>
      </w:r>
      <w:proofErr w:type="gramEnd"/>
      <w:r w:rsidRPr="00A60ACB">
        <w:rPr>
          <w:rFonts w:ascii="Work Sans" w:hAnsi="Work Sans" w:cs="Arial"/>
          <w:i/>
          <w:iCs/>
          <w:sz w:val="16"/>
          <w:szCs w:val="16"/>
        </w:rPr>
        <w:t>.</w:t>
      </w:r>
    </w:p>
    <w:p w14:paraId="42BF9653" w14:textId="7687F92D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Soporte documental en donde se constate: Que no fue posible llegar a un acuerdo acerca del contenido del acta de liquidación bilateral o; que el Contratista no se presentó tras la convocatoria o notificación.</w:t>
      </w:r>
    </w:p>
    <w:p w14:paraId="4AF6C73E" w14:textId="7D85D5A4" w:rsidR="006F5850" w:rsidRPr="00A60ACB" w:rsidRDefault="006F5850" w:rsidP="006F5850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Demás soportes documentales relacionados con la ejecución y/o que incidan en el contenido de la liquidación.</w:t>
      </w:r>
      <w:r w:rsidR="006A282D" w:rsidRPr="00A60ACB">
        <w:rPr>
          <w:rFonts w:ascii="Work Sans" w:hAnsi="Work Sans" w:cs="Arial"/>
          <w:i/>
          <w:iCs/>
          <w:sz w:val="16"/>
          <w:szCs w:val="16"/>
        </w:rPr>
        <w:t xml:space="preserve"> (…)”</w:t>
      </w:r>
    </w:p>
    <w:p w14:paraId="3969729E" w14:textId="30B14C99" w:rsidR="007E0914" w:rsidRDefault="007E0914" w:rsidP="007E0914">
      <w:pPr>
        <w:spacing w:line="240" w:lineRule="auto"/>
        <w:ind w:right="51"/>
        <w:jc w:val="both"/>
        <w:rPr>
          <w:rFonts w:ascii="Work Sans" w:hAnsi="Work Sans" w:cs="Arial"/>
          <w:sz w:val="20"/>
          <w:szCs w:val="20"/>
        </w:rPr>
      </w:pPr>
      <w:r>
        <w:rPr>
          <w:rFonts w:ascii="Work Sans" w:hAnsi="Work Sans" w:cs="Arial"/>
          <w:sz w:val="20"/>
          <w:szCs w:val="20"/>
        </w:rPr>
        <w:t xml:space="preserve">Es pertinente aclarar, que la </w:t>
      </w:r>
      <w:r w:rsidR="004F071D">
        <w:rPr>
          <w:rFonts w:ascii="Work Sans" w:hAnsi="Work Sans" w:cs="Arial"/>
          <w:sz w:val="20"/>
          <w:szCs w:val="20"/>
        </w:rPr>
        <w:t>r</w:t>
      </w:r>
      <w:r>
        <w:rPr>
          <w:rFonts w:ascii="Work Sans" w:hAnsi="Work Sans" w:cs="Arial"/>
          <w:sz w:val="20"/>
          <w:szCs w:val="20"/>
        </w:rPr>
        <w:t xml:space="preserve">esolución que liquida unilateralmente un </w:t>
      </w:r>
      <w:proofErr w:type="gramStart"/>
      <w:r w:rsidR="000A4709">
        <w:rPr>
          <w:rFonts w:ascii="Work Sans" w:hAnsi="Work Sans" w:cs="Arial"/>
          <w:sz w:val="20"/>
          <w:szCs w:val="20"/>
        </w:rPr>
        <w:t>contrato,</w:t>
      </w:r>
      <w:proofErr w:type="gramEnd"/>
      <w:r>
        <w:rPr>
          <w:rFonts w:ascii="Work Sans" w:hAnsi="Work Sans" w:cs="Arial"/>
          <w:sz w:val="20"/>
          <w:szCs w:val="20"/>
        </w:rPr>
        <w:t xml:space="preserve"> debe surtir el trámite de notificación</w:t>
      </w:r>
      <w:r w:rsidR="004F071D">
        <w:rPr>
          <w:rFonts w:ascii="Work Sans" w:hAnsi="Work Sans" w:cs="Arial"/>
          <w:sz w:val="20"/>
          <w:szCs w:val="20"/>
        </w:rPr>
        <w:t xml:space="preserve"> y contra la misma procede el recurso de reposición</w:t>
      </w:r>
      <w:r>
        <w:rPr>
          <w:rFonts w:ascii="Work Sans" w:hAnsi="Work Sans" w:cs="Arial"/>
          <w:sz w:val="20"/>
          <w:szCs w:val="20"/>
        </w:rPr>
        <w:t xml:space="preserve">, de conformidad con </w:t>
      </w:r>
      <w:r w:rsidR="004F071D">
        <w:rPr>
          <w:rFonts w:ascii="Work Sans" w:hAnsi="Work Sans" w:cs="Arial"/>
          <w:sz w:val="20"/>
          <w:szCs w:val="20"/>
        </w:rPr>
        <w:t xml:space="preserve">los </w:t>
      </w:r>
      <w:r>
        <w:rPr>
          <w:rFonts w:ascii="Work Sans" w:hAnsi="Work Sans" w:cs="Arial"/>
          <w:sz w:val="20"/>
          <w:szCs w:val="20"/>
        </w:rPr>
        <w:t>a</w:t>
      </w:r>
      <w:r w:rsidR="004F071D">
        <w:rPr>
          <w:rFonts w:ascii="Work Sans" w:hAnsi="Work Sans" w:cs="Arial"/>
          <w:sz w:val="20"/>
          <w:szCs w:val="20"/>
        </w:rPr>
        <w:t>rtículos 67 y 74 y 76 de la Ley 1437 de 2011, que establecen:</w:t>
      </w:r>
    </w:p>
    <w:p w14:paraId="6762141B" w14:textId="0B3C7220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“(…)</w:t>
      </w:r>
      <w:r>
        <w:rPr>
          <w:rFonts w:ascii="Work Sans" w:hAnsi="Work Sans" w:cs="Arial"/>
          <w:b/>
          <w:bCs/>
          <w:i/>
          <w:iCs/>
          <w:sz w:val="16"/>
          <w:szCs w:val="16"/>
        </w:rPr>
        <w:t xml:space="preserve"> </w:t>
      </w:r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ARTÍCULO</w:t>
      </w:r>
      <w:bookmarkStart w:id="0" w:name="67"/>
      <w:bookmarkEnd w:id="0"/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 67. Notificación personal.</w:t>
      </w:r>
      <w:r w:rsidRPr="004F071D">
        <w:rPr>
          <w:rFonts w:ascii="Work Sans" w:hAnsi="Work Sans" w:cs="Arial"/>
          <w:i/>
          <w:iCs/>
          <w:sz w:val="16"/>
          <w:szCs w:val="16"/>
        </w:rPr>
        <w:t> Las decisiones que pongan término a una actuación administrativa se notificarán personalmente al interesado, a su representante o apoderado, o a la persona debidamente autorizada por el interesado para notificarse.</w:t>
      </w:r>
    </w:p>
    <w:p w14:paraId="779E8256" w14:textId="2E5197E2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i/>
          <w:iCs/>
          <w:sz w:val="16"/>
          <w:szCs w:val="16"/>
        </w:rPr>
        <w:t>En la diligencia de notificación se entregará al interesado copia íntegra, auténtica y gratuita del acto administrativo, con anotación de la fecha y la hora, los recursos que legalmente proceden, las autoridades ante quienes deben interponerse y los plazos para hacerlo.</w:t>
      </w:r>
    </w:p>
    <w:p w14:paraId="3C2F3E5E" w14:textId="48729DF3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i/>
          <w:iCs/>
          <w:sz w:val="16"/>
          <w:szCs w:val="16"/>
        </w:rPr>
        <w:t>El incumplimiento de cualquiera de estos requisitos invalidará la notificación.</w:t>
      </w:r>
    </w:p>
    <w:p w14:paraId="58E2CA9B" w14:textId="6D1DDEC7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i/>
          <w:iCs/>
          <w:sz w:val="16"/>
          <w:szCs w:val="16"/>
        </w:rPr>
        <w:t>La notificación personal para dar cumplimiento a todas las diligencias previstas en el inciso anterior también podrá efectuarse mediante una cualquiera de las siguientes modalidades:</w:t>
      </w:r>
    </w:p>
    <w:p w14:paraId="41AE9D99" w14:textId="425E0077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i/>
          <w:iCs/>
          <w:sz w:val="16"/>
          <w:szCs w:val="16"/>
        </w:rPr>
        <w:t xml:space="preserve">1. Por medio electrónico. Procederá siempre y cuando el interesado acepte ser notificado de esta </w:t>
      </w:r>
      <w:proofErr w:type="gramStart"/>
      <w:r w:rsidRPr="004F071D">
        <w:rPr>
          <w:rFonts w:ascii="Work Sans" w:hAnsi="Work Sans" w:cs="Arial"/>
          <w:i/>
          <w:iCs/>
          <w:sz w:val="16"/>
          <w:szCs w:val="16"/>
        </w:rPr>
        <w:t>manera.</w:t>
      </w:r>
      <w:r w:rsidRPr="004F071D">
        <w:rPr>
          <w:rFonts w:ascii="Work Sans" w:hAnsi="Work Sans" w:cs="Arial"/>
          <w:i/>
          <w:iCs/>
          <w:sz w:val="16"/>
          <w:szCs w:val="16"/>
        </w:rPr>
        <w:t>(</w:t>
      </w:r>
      <w:proofErr w:type="gramEnd"/>
      <w:r w:rsidRPr="004F071D">
        <w:rPr>
          <w:rFonts w:ascii="Work Sans" w:hAnsi="Work Sans" w:cs="Arial"/>
          <w:i/>
          <w:iCs/>
          <w:sz w:val="16"/>
          <w:szCs w:val="16"/>
        </w:rPr>
        <w:t>…)”</w:t>
      </w:r>
    </w:p>
    <w:p w14:paraId="49A7BD30" w14:textId="5C91BB66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>
        <w:rPr>
          <w:rFonts w:ascii="Work Sans" w:hAnsi="Work Sans" w:cs="Arial"/>
          <w:b/>
          <w:bCs/>
          <w:i/>
          <w:iCs/>
          <w:sz w:val="16"/>
          <w:szCs w:val="16"/>
        </w:rPr>
        <w:t xml:space="preserve">“(…) </w:t>
      </w:r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ARTÍCULO</w:t>
      </w:r>
      <w:bookmarkStart w:id="1" w:name="74"/>
      <w:bookmarkEnd w:id="1"/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 74. Recursos contra los actos administrativos.</w:t>
      </w:r>
      <w:r w:rsidRPr="004F071D">
        <w:rPr>
          <w:rFonts w:ascii="Work Sans" w:hAnsi="Work Sans" w:cs="Arial"/>
          <w:i/>
          <w:iCs/>
          <w:sz w:val="16"/>
          <w:szCs w:val="16"/>
        </w:rPr>
        <w:t> Por regla general, contra los actos definitivos procederán los siguientes recursos:</w:t>
      </w:r>
    </w:p>
    <w:p w14:paraId="1C79B439" w14:textId="77777777" w:rsidR="004F071D" w:rsidRP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i/>
          <w:iCs/>
          <w:sz w:val="16"/>
          <w:szCs w:val="16"/>
        </w:rPr>
        <w:t>1. El de reposición, ante quien expidió la decisión para que la aclare, modifique, adicione o revoque.</w:t>
      </w:r>
    </w:p>
    <w:p w14:paraId="0403A423" w14:textId="12E9A3D3" w:rsidR="004F071D" w:rsidRDefault="004F071D" w:rsidP="004F071D">
      <w:pPr>
        <w:spacing w:line="240" w:lineRule="auto"/>
        <w:ind w:left="426" w:right="51"/>
        <w:jc w:val="both"/>
        <w:rPr>
          <w:rFonts w:ascii="Work Sans" w:hAnsi="Work Sans" w:cs="Arial"/>
          <w:i/>
          <w:iCs/>
          <w:sz w:val="16"/>
          <w:szCs w:val="16"/>
        </w:rPr>
      </w:pPr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ARTÍCULO</w:t>
      </w:r>
      <w:bookmarkStart w:id="2" w:name="76"/>
      <w:bookmarkEnd w:id="2"/>
      <w:r w:rsidRPr="004F071D">
        <w:rPr>
          <w:rFonts w:ascii="Work Sans" w:hAnsi="Work Sans" w:cs="Arial"/>
          <w:b/>
          <w:bCs/>
          <w:i/>
          <w:iCs/>
          <w:sz w:val="16"/>
          <w:szCs w:val="16"/>
        </w:rPr>
        <w:t> 76. Oportunidad y presentación.</w:t>
      </w:r>
      <w:r w:rsidRPr="004F071D">
        <w:rPr>
          <w:rFonts w:ascii="Work Sans" w:hAnsi="Work Sans" w:cs="Arial"/>
          <w:i/>
          <w:iCs/>
          <w:sz w:val="16"/>
          <w:szCs w:val="16"/>
        </w:rPr>
        <w:t xml:space="preserve"> Los recursos de reposición y apelación deberán interponerse por escrito en la diligencia de notificación personal, o dentro de los diez (10) días siguientes a ella, o a la notificación por aviso, o al vencimiento del término de publicación, según el caso. Los recursos contra los actos presuntos podrán interponerse en cualquier tiempo, salvo en el evento en que se haya acudido ante el </w:t>
      </w:r>
      <w:proofErr w:type="gramStart"/>
      <w:r w:rsidRPr="004F071D">
        <w:rPr>
          <w:rFonts w:ascii="Work Sans" w:hAnsi="Work Sans" w:cs="Arial"/>
          <w:i/>
          <w:iCs/>
          <w:sz w:val="16"/>
          <w:szCs w:val="16"/>
        </w:rPr>
        <w:t>juez.</w:t>
      </w:r>
      <w:r>
        <w:rPr>
          <w:rFonts w:ascii="Work Sans" w:hAnsi="Work Sans" w:cs="Arial"/>
          <w:i/>
          <w:iCs/>
          <w:sz w:val="16"/>
          <w:szCs w:val="16"/>
        </w:rPr>
        <w:t>(</w:t>
      </w:r>
      <w:proofErr w:type="gramEnd"/>
      <w:r>
        <w:rPr>
          <w:rFonts w:ascii="Work Sans" w:hAnsi="Work Sans" w:cs="Arial"/>
          <w:i/>
          <w:iCs/>
          <w:sz w:val="16"/>
          <w:szCs w:val="16"/>
        </w:rPr>
        <w:t>…)”</w:t>
      </w:r>
    </w:p>
    <w:p w14:paraId="32439632" w14:textId="26FBF8BF" w:rsidR="00A60ACB" w:rsidRPr="00A60ACB" w:rsidRDefault="00A60ACB" w:rsidP="00A60ACB">
      <w:pPr>
        <w:spacing w:line="240" w:lineRule="auto"/>
        <w:ind w:right="51"/>
        <w:jc w:val="both"/>
        <w:rPr>
          <w:rFonts w:ascii="Work Sans" w:hAnsi="Work Sans" w:cs="Arial"/>
          <w:sz w:val="20"/>
          <w:szCs w:val="20"/>
        </w:rPr>
      </w:pPr>
      <w:proofErr w:type="gramStart"/>
      <w:r w:rsidRPr="00A60ACB">
        <w:rPr>
          <w:rFonts w:ascii="Work Sans" w:hAnsi="Work Sans" w:cs="Arial"/>
          <w:sz w:val="20"/>
          <w:szCs w:val="20"/>
        </w:rPr>
        <w:lastRenderedPageBreak/>
        <w:t>De acuerdo a</w:t>
      </w:r>
      <w:proofErr w:type="gramEnd"/>
      <w:r w:rsidRPr="00A60ACB">
        <w:rPr>
          <w:rFonts w:ascii="Work Sans" w:hAnsi="Work Sans" w:cs="Arial"/>
          <w:sz w:val="20"/>
          <w:szCs w:val="20"/>
        </w:rPr>
        <w:t xml:space="preserve"> lo anterior, se concluye que todas las actuaciones surtidas dentro del trámite de liquidación bilateral y </w:t>
      </w:r>
      <w:proofErr w:type="gramStart"/>
      <w:r w:rsidRPr="00A60ACB">
        <w:rPr>
          <w:rFonts w:ascii="Work Sans" w:hAnsi="Work Sans" w:cs="Arial"/>
          <w:sz w:val="20"/>
          <w:szCs w:val="20"/>
        </w:rPr>
        <w:t>unilateral,</w:t>
      </w:r>
      <w:proofErr w:type="gramEnd"/>
      <w:r w:rsidRPr="00A60ACB">
        <w:rPr>
          <w:rFonts w:ascii="Work Sans" w:hAnsi="Work Sans" w:cs="Arial"/>
          <w:sz w:val="20"/>
          <w:szCs w:val="20"/>
        </w:rPr>
        <w:t xml:space="preserve"> se deben </w:t>
      </w:r>
      <w:r w:rsidR="000A4709">
        <w:rPr>
          <w:rFonts w:ascii="Work Sans" w:hAnsi="Work Sans" w:cs="Arial"/>
          <w:sz w:val="20"/>
          <w:szCs w:val="20"/>
        </w:rPr>
        <w:t>realizar</w:t>
      </w:r>
      <w:r w:rsidRPr="00A60ACB">
        <w:rPr>
          <w:rFonts w:ascii="Work Sans" w:hAnsi="Work Sans" w:cs="Arial"/>
          <w:sz w:val="20"/>
          <w:szCs w:val="20"/>
        </w:rPr>
        <w:t xml:space="preserve"> antes de que opere la pérdida de competencia.</w:t>
      </w:r>
    </w:p>
    <w:p w14:paraId="2ABF3D3F" w14:textId="59588207" w:rsidR="006F5850" w:rsidRPr="009E74D5" w:rsidRDefault="00A60ACB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>
        <w:rPr>
          <w:rFonts w:ascii="Work Sans" w:hAnsi="Work Sans" w:cs="Arial"/>
          <w:sz w:val="20"/>
          <w:szCs w:val="20"/>
        </w:rPr>
        <w:t xml:space="preserve">Por otra parte, </w:t>
      </w:r>
      <w:r w:rsidR="000A4709">
        <w:rPr>
          <w:rFonts w:ascii="Work Sans" w:hAnsi="Work Sans" w:cs="Arial"/>
          <w:sz w:val="20"/>
          <w:szCs w:val="20"/>
        </w:rPr>
        <w:t xml:space="preserve">se recuerda que </w:t>
      </w:r>
      <w:r w:rsidR="006F5850" w:rsidRPr="009E74D5">
        <w:rPr>
          <w:rFonts w:ascii="Work Sans" w:hAnsi="Work Sans" w:cs="Arial"/>
          <w:sz w:val="20"/>
          <w:szCs w:val="20"/>
        </w:rPr>
        <w:t xml:space="preserve">el Manual de Contratación del MME </w:t>
      </w:r>
      <w:r>
        <w:rPr>
          <w:rFonts w:ascii="Work Sans" w:hAnsi="Work Sans" w:cs="Arial"/>
          <w:sz w:val="20"/>
          <w:szCs w:val="20"/>
        </w:rPr>
        <w:t>establece las siguientes funciones para la supervisión</w:t>
      </w:r>
      <w:r w:rsidR="006F5850" w:rsidRPr="009E74D5">
        <w:rPr>
          <w:rFonts w:ascii="Work Sans" w:hAnsi="Work Sans" w:cs="Arial"/>
          <w:sz w:val="20"/>
          <w:szCs w:val="20"/>
        </w:rPr>
        <w:t>:</w:t>
      </w:r>
    </w:p>
    <w:p w14:paraId="5CECEF5F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059D6FFC" w14:textId="75915A36" w:rsidR="006F5850" w:rsidRPr="00A60ACB" w:rsidRDefault="008E455E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“</w:t>
      </w:r>
      <w:r w:rsidR="006F5850" w:rsidRPr="00A60ACB">
        <w:rPr>
          <w:rFonts w:ascii="Work Sans" w:hAnsi="Work Sans" w:cs="Arial"/>
          <w:i/>
          <w:iCs/>
          <w:sz w:val="16"/>
          <w:szCs w:val="16"/>
        </w:rPr>
        <w:t>(…)</w:t>
      </w:r>
    </w:p>
    <w:p w14:paraId="2F64B433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4C1DE33D" w14:textId="03DDBEB6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5.5. FUNCIONES DE LOS SUPERVISORES E INTERVENTORES</w:t>
      </w:r>
    </w:p>
    <w:p w14:paraId="217AE242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679B5FAC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5.5.2 Vigilancia Administrativa</w:t>
      </w:r>
    </w:p>
    <w:p w14:paraId="57C89B39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4EB24A5C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Coordinar las instancias internas de El Ministerio de Minas y Energía relacionadas con la ejecución y liquidación del contrato.</w:t>
      </w:r>
    </w:p>
    <w:p w14:paraId="4D9E11C7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28DB9572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5.5.4 Vigilancia Financiera y contable</w:t>
      </w:r>
    </w:p>
    <w:p w14:paraId="0B011115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Documentar los pagos y ajustes que se hagan al contrato y controlar el balance presupuestal del contrato para efecto de pagos y de liquidación de este.</w:t>
      </w:r>
    </w:p>
    <w:p w14:paraId="70F23431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42F8FDDD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Adelantar el proceso de liquidación de los contratos bajo su supervisión y recaudar y/o elaborar con la debida oportunidad los documentos soporte que le correspondan para efectuarla.</w:t>
      </w:r>
    </w:p>
    <w:p w14:paraId="327EFE71" w14:textId="77777777" w:rsidR="006F5850" w:rsidRPr="00A60ACB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16"/>
          <w:szCs w:val="16"/>
        </w:rPr>
      </w:pPr>
    </w:p>
    <w:p w14:paraId="652FD9B4" w14:textId="1A5D84B3" w:rsidR="006F5850" w:rsidRPr="009E74D5" w:rsidRDefault="006F5850" w:rsidP="00A60ACB">
      <w:pPr>
        <w:spacing w:line="240" w:lineRule="auto"/>
        <w:ind w:left="426" w:right="51"/>
        <w:contextualSpacing/>
        <w:jc w:val="both"/>
        <w:rPr>
          <w:rFonts w:ascii="Work Sans" w:hAnsi="Work Sans" w:cs="Arial"/>
          <w:i/>
          <w:iCs/>
          <w:sz w:val="20"/>
          <w:szCs w:val="20"/>
        </w:rPr>
      </w:pPr>
      <w:r w:rsidRPr="00A60ACB">
        <w:rPr>
          <w:rFonts w:ascii="Work Sans" w:hAnsi="Work Sans" w:cs="Arial"/>
          <w:i/>
          <w:iCs/>
          <w:sz w:val="16"/>
          <w:szCs w:val="16"/>
        </w:rPr>
        <w:t>(…)</w:t>
      </w:r>
      <w:r w:rsidR="008E455E" w:rsidRPr="00A60ACB">
        <w:rPr>
          <w:rFonts w:ascii="Work Sans" w:hAnsi="Work Sans" w:cs="Arial"/>
          <w:i/>
          <w:iCs/>
          <w:sz w:val="16"/>
          <w:szCs w:val="16"/>
        </w:rPr>
        <w:t>”</w:t>
      </w:r>
    </w:p>
    <w:p w14:paraId="40A57FE6" w14:textId="77777777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77BFC719" w14:textId="55611610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>Finalmente, se insta a la Supervisión para que desde su competencia se valide la información contenida en el presente memorando y se efectúe el trámite de liquidación dentro de los términos legamente establecidos, dando la prioridad debida</w:t>
      </w:r>
      <w:r w:rsidR="000A4709">
        <w:rPr>
          <w:rFonts w:ascii="Work Sans" w:hAnsi="Work Sans" w:cs="Arial"/>
          <w:sz w:val="20"/>
          <w:szCs w:val="20"/>
        </w:rPr>
        <w:t>, teniendo en cuenta la fecha de pérdida de</w:t>
      </w:r>
      <w:r w:rsidRPr="009E74D5">
        <w:rPr>
          <w:rFonts w:ascii="Work Sans" w:hAnsi="Work Sans" w:cs="Arial"/>
          <w:sz w:val="20"/>
          <w:szCs w:val="20"/>
        </w:rPr>
        <w:t xml:space="preserve"> competencia y contemplando los tiempos del proceso asociado</w:t>
      </w:r>
      <w:r w:rsidR="006A282D" w:rsidRPr="009E74D5">
        <w:rPr>
          <w:rFonts w:ascii="Work Sans" w:hAnsi="Work Sans" w:cs="Arial"/>
          <w:sz w:val="20"/>
          <w:szCs w:val="20"/>
        </w:rPr>
        <w:t>s</w:t>
      </w:r>
      <w:r w:rsidRPr="009E74D5">
        <w:rPr>
          <w:rFonts w:ascii="Work Sans" w:hAnsi="Work Sans" w:cs="Arial"/>
          <w:sz w:val="20"/>
          <w:szCs w:val="20"/>
        </w:rPr>
        <w:t xml:space="preserve"> a la revisión y legalización de los tramites.</w:t>
      </w:r>
    </w:p>
    <w:p w14:paraId="168B669F" w14:textId="77777777" w:rsidR="005B4718" w:rsidRPr="009E74D5" w:rsidRDefault="005B4718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</w:p>
    <w:p w14:paraId="1345FBD4" w14:textId="7C0065A0" w:rsidR="006F5850" w:rsidRPr="009E74D5" w:rsidRDefault="006F5850" w:rsidP="006F5850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 xml:space="preserve">Quedamos atentos a sus consideraciones y/o inquietudes </w:t>
      </w:r>
      <w:r w:rsidR="008E455E" w:rsidRPr="009E74D5">
        <w:rPr>
          <w:rFonts w:ascii="Work Sans" w:hAnsi="Work Sans" w:cs="Arial"/>
          <w:sz w:val="20"/>
          <w:szCs w:val="20"/>
        </w:rPr>
        <w:t xml:space="preserve">que </w:t>
      </w:r>
      <w:r w:rsidRPr="009E74D5">
        <w:rPr>
          <w:rFonts w:ascii="Work Sans" w:hAnsi="Work Sans" w:cs="Arial"/>
          <w:sz w:val="20"/>
          <w:szCs w:val="20"/>
        </w:rPr>
        <w:t>al respecto</w:t>
      </w:r>
      <w:r w:rsidR="008E455E" w:rsidRPr="009E74D5">
        <w:rPr>
          <w:rFonts w:ascii="Work Sans" w:hAnsi="Work Sans" w:cs="Arial"/>
          <w:sz w:val="20"/>
          <w:szCs w:val="20"/>
        </w:rPr>
        <w:t xml:space="preserve"> se generen, las cuales podrán ser resueltas a través del Grupo de Gestión Contractual. </w:t>
      </w:r>
    </w:p>
    <w:p w14:paraId="425E25CF" w14:textId="77777777" w:rsidR="002757D9" w:rsidRPr="009E74D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  <w:highlight w:val="yellow"/>
        </w:rPr>
      </w:pPr>
    </w:p>
    <w:p w14:paraId="32382521" w14:textId="18D4F97C" w:rsidR="002757D9" w:rsidRPr="009E74D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</w:rPr>
      </w:pPr>
      <w:r w:rsidRPr="009E74D5">
        <w:rPr>
          <w:rFonts w:ascii="Work Sans" w:hAnsi="Work Sans" w:cs="Arial"/>
          <w:sz w:val="20"/>
          <w:szCs w:val="20"/>
        </w:rPr>
        <w:t>Cordialmente,</w:t>
      </w:r>
    </w:p>
    <w:p w14:paraId="1C9BC606" w14:textId="77777777" w:rsidR="005B4718" w:rsidRPr="00EB785A" w:rsidRDefault="005B4718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25EE450" w14:textId="77777777" w:rsidR="005B4718" w:rsidRPr="0026480C" w:rsidRDefault="005B4718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9E74D5">
        <w:tc>
          <w:tcPr>
            <w:tcW w:w="8790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9E74D5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9E74D5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BD9D" w14:textId="77777777" w:rsidR="004758A5" w:rsidRDefault="004758A5">
      <w:pPr>
        <w:spacing w:after="0" w:line="240" w:lineRule="auto"/>
      </w:pPr>
      <w:r>
        <w:separator/>
      </w:r>
    </w:p>
  </w:endnote>
  <w:endnote w:type="continuationSeparator" w:id="0">
    <w:p w14:paraId="3413AF59" w14:textId="77777777" w:rsidR="004758A5" w:rsidRDefault="0047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7C37A" w14:textId="77777777" w:rsidR="004758A5" w:rsidRDefault="004758A5">
      <w:pPr>
        <w:spacing w:after="0" w:line="240" w:lineRule="auto"/>
      </w:pPr>
      <w:r>
        <w:separator/>
      </w:r>
    </w:p>
  </w:footnote>
  <w:footnote w:type="continuationSeparator" w:id="0">
    <w:p w14:paraId="29FC7723" w14:textId="77777777" w:rsidR="004758A5" w:rsidRDefault="00475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3E6A"/>
    <w:multiLevelType w:val="hybridMultilevel"/>
    <w:tmpl w:val="70BA28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F1805"/>
    <w:multiLevelType w:val="hybridMultilevel"/>
    <w:tmpl w:val="4D728EAA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50482"/>
    <w:multiLevelType w:val="hybridMultilevel"/>
    <w:tmpl w:val="B496573C"/>
    <w:lvl w:ilvl="0" w:tplc="39A2781E">
      <w:numFmt w:val="bullet"/>
      <w:lvlText w:val="-"/>
      <w:lvlJc w:val="left"/>
      <w:pPr>
        <w:ind w:left="1080" w:hanging="360"/>
      </w:pPr>
      <w:rPr>
        <w:rFonts w:ascii="Work Sans" w:eastAsiaTheme="minorHAnsi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4897903">
    <w:abstractNumId w:val="0"/>
  </w:num>
  <w:num w:numId="2" w16cid:durableId="11539771">
    <w:abstractNumId w:val="1"/>
  </w:num>
  <w:num w:numId="3" w16cid:durableId="691955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4DE3"/>
    <w:rsid w:val="00046D1C"/>
    <w:rsid w:val="000A2C13"/>
    <w:rsid w:val="000A4709"/>
    <w:rsid w:val="000C507B"/>
    <w:rsid w:val="000E59F0"/>
    <w:rsid w:val="001358EB"/>
    <w:rsid w:val="00183F06"/>
    <w:rsid w:val="00184E3B"/>
    <w:rsid w:val="00191E09"/>
    <w:rsid w:val="001A556B"/>
    <w:rsid w:val="00202A17"/>
    <w:rsid w:val="0023586F"/>
    <w:rsid w:val="00255F30"/>
    <w:rsid w:val="0026480C"/>
    <w:rsid w:val="002757D9"/>
    <w:rsid w:val="002B6778"/>
    <w:rsid w:val="002D5D8E"/>
    <w:rsid w:val="002E601B"/>
    <w:rsid w:val="003423DA"/>
    <w:rsid w:val="003C6CA7"/>
    <w:rsid w:val="003D64EF"/>
    <w:rsid w:val="003D734A"/>
    <w:rsid w:val="00452B31"/>
    <w:rsid w:val="00454A6E"/>
    <w:rsid w:val="00457687"/>
    <w:rsid w:val="004758A5"/>
    <w:rsid w:val="00485628"/>
    <w:rsid w:val="004E340F"/>
    <w:rsid w:val="004E3596"/>
    <w:rsid w:val="004F071D"/>
    <w:rsid w:val="005061BF"/>
    <w:rsid w:val="00510D7F"/>
    <w:rsid w:val="005A358A"/>
    <w:rsid w:val="005A7424"/>
    <w:rsid w:val="005B4718"/>
    <w:rsid w:val="005F39D5"/>
    <w:rsid w:val="006153E2"/>
    <w:rsid w:val="00697D95"/>
    <w:rsid w:val="006A282D"/>
    <w:rsid w:val="006B6747"/>
    <w:rsid w:val="006F5850"/>
    <w:rsid w:val="0070436A"/>
    <w:rsid w:val="00713CBD"/>
    <w:rsid w:val="007560EA"/>
    <w:rsid w:val="00774D1A"/>
    <w:rsid w:val="00777BBA"/>
    <w:rsid w:val="007D39ED"/>
    <w:rsid w:val="007E0914"/>
    <w:rsid w:val="008017F8"/>
    <w:rsid w:val="00814311"/>
    <w:rsid w:val="00844F88"/>
    <w:rsid w:val="00865C91"/>
    <w:rsid w:val="008C0F2A"/>
    <w:rsid w:val="008E455E"/>
    <w:rsid w:val="008F69C2"/>
    <w:rsid w:val="00942046"/>
    <w:rsid w:val="0096615D"/>
    <w:rsid w:val="009953CE"/>
    <w:rsid w:val="009B5409"/>
    <w:rsid w:val="009E5228"/>
    <w:rsid w:val="009E74D5"/>
    <w:rsid w:val="00A32F93"/>
    <w:rsid w:val="00A50EA5"/>
    <w:rsid w:val="00A60ACB"/>
    <w:rsid w:val="00A82C6D"/>
    <w:rsid w:val="00A94793"/>
    <w:rsid w:val="00AA1D97"/>
    <w:rsid w:val="00AB10F6"/>
    <w:rsid w:val="00AC4E5E"/>
    <w:rsid w:val="00AD43C1"/>
    <w:rsid w:val="00AE1879"/>
    <w:rsid w:val="00AF21D9"/>
    <w:rsid w:val="00B12ABD"/>
    <w:rsid w:val="00B77357"/>
    <w:rsid w:val="00BC7B64"/>
    <w:rsid w:val="00C04679"/>
    <w:rsid w:val="00C3660C"/>
    <w:rsid w:val="00C74920"/>
    <w:rsid w:val="00C80C86"/>
    <w:rsid w:val="00CC58E7"/>
    <w:rsid w:val="00CD3E33"/>
    <w:rsid w:val="00D33464"/>
    <w:rsid w:val="00D33D10"/>
    <w:rsid w:val="00D46F42"/>
    <w:rsid w:val="00D95FE5"/>
    <w:rsid w:val="00DC1713"/>
    <w:rsid w:val="00DC5ED3"/>
    <w:rsid w:val="00DD58B5"/>
    <w:rsid w:val="00DE7D62"/>
    <w:rsid w:val="00E113E2"/>
    <w:rsid w:val="00E12329"/>
    <w:rsid w:val="00E42E3D"/>
    <w:rsid w:val="00EB785A"/>
    <w:rsid w:val="00F74CCC"/>
    <w:rsid w:val="00F758D2"/>
    <w:rsid w:val="00FE1283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6F5850"/>
    <w:pPr>
      <w:ind w:left="720"/>
      <w:contextualSpacing/>
    </w:pPr>
  </w:style>
  <w:style w:type="table" w:styleId="Tablaconcuadrcula">
    <w:name w:val="Table Grid"/>
    <w:basedOn w:val="Tablanormal"/>
    <w:uiPriority w:val="39"/>
    <w:rsid w:val="00995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33D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3D1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3D1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3D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3D1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1493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SONIA PAOLA GARCIA CONTRERAS</cp:lastModifiedBy>
  <cp:revision>2</cp:revision>
  <dcterms:created xsi:type="dcterms:W3CDTF">2026-05-29T15:04:00Z</dcterms:created>
  <dcterms:modified xsi:type="dcterms:W3CDTF">2026-05-29T15:04:00Z</dcterms:modified>
  <dc:language>es-CO</dc:language>
</cp:coreProperties>
</file>